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74" w:rsidRPr="003F740F" w:rsidRDefault="00860C82" w:rsidP="00860C82">
      <w:pPr>
        <w:spacing w:after="0" w:line="240" w:lineRule="auto"/>
        <w:ind w:firstLine="39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протоколом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совета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C5C4E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1C2074"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по обеспечению деятельности</w:t>
      </w:r>
    </w:p>
    <w:p w:rsidR="001C2074" w:rsidRPr="003F740F" w:rsidRDefault="001C2074" w:rsidP="00860C82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мировых судей Удмуртской Республики </w:t>
      </w:r>
    </w:p>
    <w:p w:rsidR="001C2074" w:rsidRPr="003F740F" w:rsidRDefault="001C2074" w:rsidP="00860C82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Правительстве Удмуртской </w:t>
      </w:r>
      <w:r w:rsidR="0086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F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</w:t>
      </w:r>
    </w:p>
    <w:p w:rsidR="003C5C4E" w:rsidRPr="004A1424" w:rsidRDefault="00B11886" w:rsidP="00860C82">
      <w:pPr>
        <w:spacing w:after="0" w:line="240" w:lineRule="auto"/>
        <w:ind w:firstLine="36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0A08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30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</w:t>
      </w:r>
      <w:r w:rsidR="001C2074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C2074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3C5C4E" w:rsidRPr="004A1424" w:rsidRDefault="003C5C4E" w:rsidP="003F7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</w:t>
      </w:r>
    </w:p>
    <w:p w:rsidR="001C2074" w:rsidRPr="004A1424" w:rsidRDefault="003C5C4E" w:rsidP="003F7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внутреннего обеспечения соответствия требованиям антимонопольного законодательства (антимонопольный </w:t>
      </w:r>
      <w:proofErr w:type="spellStart"/>
      <w:r w:rsidRPr="004A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</w:t>
      </w:r>
      <w:r w:rsidR="001C2074" w:rsidRPr="004A14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Управлении по обеспечению деятельности  мировых судей Удмуртской Республики при Правительстве Удмуртской Республики</w:t>
      </w:r>
    </w:p>
    <w:p w:rsidR="000329B8" w:rsidRPr="004A1424" w:rsidRDefault="000329B8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AE9" w:rsidRPr="004A1424" w:rsidRDefault="000329B8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2F4F9F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26.07.2006 г. № 135-ФЗ «О защите конкуренции»,</w:t>
      </w:r>
      <w:r w:rsidR="002F4F9F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>подпунктом «е» пункта 2 Национального плана развития конкуренции в Российской Федерации на 2018 – 2020 годы, утверждённого Указом Президента Российской Федерации  от 21 декабря 2017 года № 618 «Об основных направлениях государственной политики по развитию конкуренции», абзацем 3 пункта 3 распоряжения Правительства Российской Федерации от 16 августа 2018 года  № 1697-р «Об утверждении 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</w:t>
      </w:r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>ого рынка на 2018 - 2020 годы»</w:t>
      </w:r>
      <w:r w:rsidR="00C12864" w:rsidRPr="004A1424">
        <w:rPr>
          <w:rFonts w:ascii="Times New Roman" w:hAnsi="Times New Roman" w:cs="Times New Roman"/>
          <w:sz w:val="28"/>
          <w:szCs w:val="28"/>
          <w:lang w:eastAsia="ru-RU"/>
        </w:rPr>
        <w:t>, Распоряжением Правительства РФ от 18.10.</w:t>
      </w:r>
      <w:r w:rsidR="00DE5BA3" w:rsidRPr="004A1424">
        <w:rPr>
          <w:rFonts w:ascii="Times New Roman" w:hAnsi="Times New Roman" w:cs="Times New Roman"/>
          <w:sz w:val="28"/>
          <w:szCs w:val="28"/>
          <w:lang w:eastAsia="ru-RU"/>
        </w:rPr>
        <w:t>2018 г. № 2258-р «Об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Управлении по обеспечению деятельности мировых судей Удмуртской Республики при Правительстве Удмуртской Республики (далее – Управление) организована и функционирует система внутреннего обеспечения соответствия требованиям антимонопольного законодательства (антимонопольный </w:t>
      </w:r>
      <w:proofErr w:type="spellStart"/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2F4F9F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совершенствования с</w:t>
      </w:r>
      <w:r w:rsidR="008D4B46" w:rsidRPr="004A1424">
        <w:rPr>
          <w:rFonts w:ascii="Times New Roman" w:hAnsi="Times New Roman" w:cs="Times New Roman"/>
          <w:sz w:val="28"/>
          <w:szCs w:val="28"/>
          <w:lang w:eastAsia="ru-RU"/>
        </w:rPr>
        <w:t>истемы управления рисками, обеспечения соответствия требованиям антимонопольного законодательства,</w:t>
      </w:r>
      <w:r w:rsidR="00DD3AE9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№ 01-03/114 от 29.08.2019 г. утверждено </w:t>
      </w:r>
      <w:r w:rsidR="000D61E9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в Управлении антимонопольного </w:t>
      </w:r>
      <w:proofErr w:type="spellStart"/>
      <w:r w:rsidR="000D61E9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0D61E9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Положение).</w:t>
      </w:r>
    </w:p>
    <w:p w:rsidR="00246207" w:rsidRPr="004A1424" w:rsidRDefault="000D61E9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В соответствии с п.3</w:t>
      </w:r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, целями и задачами антимонопольного </w:t>
      </w:r>
      <w:proofErr w:type="spellStart"/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определены: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- обеспечение соответствия деятельности Управления требованиям антимонопольного законодательства;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- профилактика нарушения требований антимонопольного законодательства в деятельности Управления.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выявление рисков нарушения антимонопольного законодательства (далее –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-риски);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управление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-рисками;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- контроль за соответствием деятельности Управления требованиям антимонопольного законодательства;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- оценка эффективности функционирования в Управлении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6207" w:rsidRPr="004A1424" w:rsidRDefault="00246207" w:rsidP="003F740F">
      <w:pPr>
        <w:pStyle w:val="a4"/>
        <w:ind w:left="142"/>
        <w:jc w:val="both"/>
        <w:rPr>
          <w:sz w:val="28"/>
          <w:szCs w:val="28"/>
          <w:lang w:eastAsia="ru-RU"/>
        </w:rPr>
      </w:pPr>
      <w:r w:rsidRPr="004A1424">
        <w:rPr>
          <w:sz w:val="28"/>
          <w:szCs w:val="28"/>
          <w:lang w:eastAsia="ru-RU"/>
        </w:rPr>
        <w:t xml:space="preserve">При организации антимонопольного </w:t>
      </w:r>
      <w:proofErr w:type="spellStart"/>
      <w:r w:rsidRPr="004A1424">
        <w:rPr>
          <w:sz w:val="28"/>
          <w:szCs w:val="28"/>
          <w:lang w:eastAsia="ru-RU"/>
        </w:rPr>
        <w:t>комплаенса</w:t>
      </w:r>
      <w:proofErr w:type="spellEnd"/>
      <w:r w:rsidRPr="004A1424">
        <w:rPr>
          <w:sz w:val="28"/>
          <w:szCs w:val="28"/>
          <w:lang w:eastAsia="ru-RU"/>
        </w:rPr>
        <w:t xml:space="preserve"> Управление руководствуется следующими принципами: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заинтересованность руководства Управления в эффективности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6207" w:rsidRPr="004A1424" w:rsidRDefault="00A965C0" w:rsidP="003F7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302E8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  регулярность оценки </w:t>
      </w:r>
      <w:proofErr w:type="spellStart"/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46207" w:rsidRPr="004A1424">
        <w:rPr>
          <w:rFonts w:ascii="Times New Roman" w:hAnsi="Times New Roman" w:cs="Times New Roman"/>
          <w:sz w:val="28"/>
          <w:szCs w:val="28"/>
          <w:lang w:eastAsia="ru-RU"/>
        </w:rPr>
        <w:t>-рисков;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информационная открытость функционирования в Управлении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 непрерывность функционирования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6207" w:rsidRPr="004A1424" w:rsidRDefault="00246207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 совершенствование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574B" w:rsidRPr="004A1424" w:rsidRDefault="00A965C0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Согласно п.6 Положения</w:t>
      </w:r>
      <w:r w:rsidR="00F5311A" w:rsidRPr="004A14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B1574B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ункции уполномоченного подразделения, связанные с организацией и функционированием антимонопольного </w:t>
      </w:r>
      <w:proofErr w:type="spellStart"/>
      <w:r w:rsidR="00B1574B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B1574B" w:rsidRPr="004A1424">
        <w:rPr>
          <w:rFonts w:ascii="Times New Roman" w:hAnsi="Times New Roman" w:cs="Times New Roman"/>
          <w:sz w:val="28"/>
          <w:szCs w:val="28"/>
          <w:lang w:eastAsia="ru-RU"/>
        </w:rPr>
        <w:t>, возложены на юридический сектор Управления.</w:t>
      </w:r>
    </w:p>
    <w:p w:rsidR="00A965C0" w:rsidRPr="004A1424" w:rsidRDefault="00A965C0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>функци</w:t>
      </w:r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уполномоченного подразделения</w:t>
      </w:r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4A14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53222" w:rsidRPr="004A1424" w:rsidRDefault="00E53222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выявление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-рисков, учет обстоятельств, связанных с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-рисками, определение вероятности возникновения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-рисков;</w:t>
      </w:r>
    </w:p>
    <w:p w:rsidR="00E53222" w:rsidRPr="004A1424" w:rsidRDefault="00E53222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консультирование сотрудников Управления по вопросам, связанным с соблюдением антимонопольного законодательства и антимонопольным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комплаенсом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3222" w:rsidRPr="004A1424" w:rsidRDefault="00E53222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инициирование </w:t>
      </w:r>
      <w:r w:rsidR="005542D9" w:rsidRPr="004A1424">
        <w:rPr>
          <w:rFonts w:ascii="Times New Roman" w:hAnsi="Times New Roman" w:cs="Times New Roman"/>
          <w:sz w:val="28"/>
          <w:szCs w:val="28"/>
          <w:lang w:eastAsia="ru-RU"/>
        </w:rPr>
        <w:t>проверок, связанных с нарушениями, выявленными в ходе контроля соответствия деятельности сотрудников Управления требованиям антимонопольного законодательства, и участие в них в порядке, установленном действующим законодательством и приказами Управления;</w:t>
      </w:r>
    </w:p>
    <w:p w:rsidR="005542D9" w:rsidRPr="004A1424" w:rsidRDefault="005542D9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- информирование начальника Управления о наличии внутренних документов, которые могут повлечь нарушение антимонопольного законодательства, противоречить антимонопольному законодательству</w:t>
      </w:r>
      <w:r w:rsidR="008313D3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и антимонопольному </w:t>
      </w:r>
      <w:proofErr w:type="spellStart"/>
      <w:r w:rsidR="008313D3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8313D3"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13D3" w:rsidRPr="004A1424" w:rsidRDefault="008313D3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и внесение на утверждение начальника Управления карты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-рисков Управления;</w:t>
      </w:r>
    </w:p>
    <w:p w:rsidR="008313D3" w:rsidRPr="004A1424" w:rsidRDefault="008313D3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определение и внесение на утверждение начальника Управления ключевых показателей эффективности антимонопольного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313D3" w:rsidRPr="004A1424" w:rsidRDefault="008313D3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подготовка и внесение на утверждение начальника Управления плана мероприятий («дорожной карты») по снижению </w:t>
      </w:r>
      <w:proofErr w:type="spellStart"/>
      <w:r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hAnsi="Times New Roman" w:cs="Times New Roman"/>
          <w:sz w:val="28"/>
          <w:szCs w:val="28"/>
          <w:lang w:eastAsia="ru-RU"/>
        </w:rPr>
        <w:t>-рисков Управления;</w:t>
      </w:r>
    </w:p>
    <w:p w:rsidR="008313D3" w:rsidRPr="004A1424" w:rsidRDefault="008313D3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- подготовка для подписания начальником Управления и утверждения Коллегиальным органом проекта доклад</w:t>
      </w:r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а об антимонопольном </w:t>
      </w:r>
      <w:proofErr w:type="spellStart"/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1E289D" w:rsidRPr="004A142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2E8" w:rsidRPr="004A1424" w:rsidRDefault="00C83B80" w:rsidP="003F740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D03CE6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п.8 Положения, ф</w:t>
      </w:r>
      <w:r w:rsidR="006302E8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ункции коллегиального органа, осуществляющего оценку эффективности организации и функционирования </w:t>
      </w:r>
      <w:r w:rsidR="006302E8" w:rsidRPr="004A14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антимонопольного </w:t>
      </w:r>
      <w:proofErr w:type="spellStart"/>
      <w:r w:rsidR="006302E8" w:rsidRPr="004A1424">
        <w:rPr>
          <w:rFonts w:ascii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6302E8" w:rsidRPr="004A142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Коллегиальный орган), возложены на Общественный совет при Управлении.</w:t>
      </w:r>
    </w:p>
    <w:p w:rsidR="006673B3" w:rsidRPr="004A1424" w:rsidRDefault="006673B3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целях обеспечения открытости и доступа к информации</w:t>
      </w:r>
      <w:r w:rsidR="008D4B46" w:rsidRPr="004A1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официальном сайте Управления </w:t>
      </w:r>
      <w:r w:rsidRPr="004A1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сети «Интернет» создан раздел «Антимонопольный </w:t>
      </w:r>
      <w:proofErr w:type="spellStart"/>
      <w:r w:rsidRPr="004A1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комплаенс</w:t>
      </w:r>
      <w:proofErr w:type="spellEnd"/>
      <w:r w:rsidRPr="004A142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6673B3" w:rsidRPr="004A1424" w:rsidRDefault="006673B3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2DE" w:rsidRPr="004A1424" w:rsidRDefault="006222D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выявления</w:t>
      </w:r>
      <w:r w:rsidR="005447A1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нарушения антимонопольного законодательства</w:t>
      </w:r>
      <w:r w:rsidR="00BC095A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6302E8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="005447A1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регулярной основе</w:t>
      </w:r>
      <w:r w:rsidR="006302E8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мероприятия:</w:t>
      </w: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Анализ выявленных нарушений антимонопольного законодательства в деятельности </w:t>
      </w:r>
      <w:r w:rsidR="00B1574B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44177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(наличие предостережений, предупреждений, штрафов, жалоб, возбужденных дел).</w:t>
      </w: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Анализ нормативных правовых актов </w:t>
      </w:r>
      <w:r w:rsidR="00B1574B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проектов нормативных правовых актов </w:t>
      </w:r>
      <w:r w:rsidR="00B1574B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Мониторин</w:t>
      </w:r>
      <w:r w:rsidR="00A0291C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и анализ практики применения Управлением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законодательства.</w:t>
      </w: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оценки эффективности разработанных и реализуемых мероприятий по снижению рисков нарушения антимонопольного законодательства, составление перечня нарушений антимонопольного законодательства.</w:t>
      </w:r>
    </w:p>
    <w:p w:rsidR="00115F09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проведенного анализа</w:t>
      </w:r>
      <w:r w:rsidR="00F5311A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возможные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риски нарушения антимонопольного законода</w:t>
      </w:r>
      <w:r w:rsidR="00115F0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усматриваются в </w:t>
      </w:r>
      <w:r w:rsidR="00C83B8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областях деятельности </w:t>
      </w:r>
      <w:r w:rsidR="00115F0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424">
        <w:rPr>
          <w:rStyle w:val="1"/>
          <w:rFonts w:eastAsiaTheme="minorHAnsi"/>
          <w:sz w:val="28"/>
          <w:szCs w:val="28"/>
        </w:rPr>
        <w:t xml:space="preserve">обоснование начальной (максимальной) цены контракта с нарушением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(высокий уровень риска); 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424">
        <w:rPr>
          <w:rStyle w:val="1"/>
          <w:rFonts w:eastAsiaTheme="minorHAnsi"/>
          <w:sz w:val="28"/>
          <w:szCs w:val="28"/>
        </w:rPr>
        <w:t xml:space="preserve">установление ограничивающих конкуренцию требований к участникам закупки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 риска);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4A1424">
        <w:rPr>
          <w:rStyle w:val="1"/>
          <w:rFonts w:eastAsiaTheme="minorHAnsi"/>
          <w:sz w:val="28"/>
          <w:szCs w:val="28"/>
        </w:rPr>
        <w:t xml:space="preserve">неправильное определение победителя закупок товаров, работ, услуг для обеспечения государственных и муниципальных нужд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 риска);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424">
        <w:rPr>
          <w:rStyle w:val="1"/>
          <w:rFonts w:eastAsiaTheme="minorHAnsi"/>
          <w:sz w:val="28"/>
          <w:szCs w:val="28"/>
        </w:rPr>
        <w:t xml:space="preserve">неправильный выбор способа осуществления закупки товаров, работ, услуг для обеспечения государственных и муниципальных нужд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(высокий уровень риска);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424">
        <w:rPr>
          <w:rStyle w:val="1"/>
          <w:rFonts w:eastAsiaTheme="minorHAnsi"/>
          <w:sz w:val="28"/>
          <w:szCs w:val="28"/>
        </w:rPr>
        <w:t>разработка проектов нормативных правовых актов, регламентирующих деятельность хозяйствующих субъектов в установленной сфере деятельности, ограничивающих конкуренцию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(средний уровень риска);</w:t>
      </w:r>
    </w:p>
    <w:p w:rsidR="00115F09" w:rsidRPr="004A1424" w:rsidRDefault="00115F0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1424">
        <w:rPr>
          <w:rStyle w:val="1"/>
          <w:rFonts w:eastAsiaTheme="minorHAnsi"/>
          <w:sz w:val="28"/>
          <w:szCs w:val="28"/>
        </w:rPr>
        <w:t>несвоевременное приведение в соответствие с законодательством Российской Федерации нормативных правовых актов регламентирующих деятельность хозяйствующих субъектов в установленной сфере деятельности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(высокий уровень риска);</w:t>
      </w:r>
    </w:p>
    <w:p w:rsidR="00C83B80" w:rsidRPr="004A1424" w:rsidRDefault="00C83B80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проведения оценки рисков нарушения антимонопольного законодательства, уполномоченным подразделением составлена Карта (паспорт)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-рисков Управления на 2020 год, которая размещена на официальном сайте Управления в сети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Интеренет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«Антимонопольный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360F" w:rsidRPr="004A1424" w:rsidRDefault="00226832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снижения рисков нарушения антимонопольного законодательства уполномоченным подразделением на основе Карты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-рисков разработан план мероприятий («дорожная карта») по снижению рисков нарушения антимонопольного законодательства в Управлении на 2020 год. План мероприятий утвержден начальником Управления и размещен на официальном сайте.</w:t>
      </w:r>
    </w:p>
    <w:p w:rsidR="00115F09" w:rsidRPr="004A1424" w:rsidRDefault="00847ECD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регулярной основе</w:t>
      </w:r>
      <w:r w:rsidR="003B47E9" w:rsidRPr="004A14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письмом Управления ФАС по Удмуртской Республике № ЕС01-17-01/8136Э, проводится работа по актуализации карты-рисков.</w:t>
      </w:r>
    </w:p>
    <w:p w:rsidR="00C70A22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B47E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Управлении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и проведена работа по осуществлению сбора сведений о наличии нарушений антимонопольного законодательства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B47E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 01.01.201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г.</w:t>
      </w:r>
      <w:r w:rsidR="003B47E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31.12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7F87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указанный период состоял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0545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Управления в сфере осуществления закупок</w:t>
      </w:r>
      <w:r w:rsidR="002355C9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55C9" w:rsidRPr="004A1424" w:rsidRDefault="002355C9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27.11.2020 г. Управлением Федеральной антимонопольной службы по Нижегородской области проведена проверка соблюдения законодательства о контрактной системе в сфере закупок по вопросу включения сведений в реестр недобросовестных поставщиков, в связи с уклонением поставщика от заключения контракта</w:t>
      </w:r>
      <w:r w:rsidR="002C7F87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Управлением по итогам проведения электронного аукциона.</w:t>
      </w:r>
    </w:p>
    <w:p w:rsidR="002C7F87" w:rsidRPr="004A1424" w:rsidRDefault="002C7F87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проверки нарушений не выявлено, признание поставщика уклонившимся от заключения контракта является обоснованным.</w:t>
      </w:r>
    </w:p>
    <w:p w:rsidR="0002019D" w:rsidRPr="004A1424" w:rsidRDefault="0002019D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закупки проводятся в основном в форме электронного аукциона уполномоченным органом в </w:t>
      </w:r>
      <w:r w:rsidR="002C589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</w:t>
      </w:r>
      <w:r w:rsidR="002C589E" w:rsidRPr="004A1424">
        <w:rPr>
          <w:rFonts w:ascii="Times New Roman" w:hAnsi="Times New Roman" w:cs="Times New Roman"/>
          <w:noProof/>
          <w:sz w:val="28"/>
          <w:szCs w:val="28"/>
        </w:rPr>
        <w:t>Государственного казенного</w:t>
      </w:r>
      <w:r w:rsidR="002C589E" w:rsidRPr="004A1424">
        <w:rPr>
          <w:rFonts w:ascii="Times New Roman" w:hAnsi="Times New Roman" w:cs="Times New Roman"/>
          <w:sz w:val="28"/>
          <w:szCs w:val="28"/>
        </w:rPr>
        <w:t xml:space="preserve"> учреждения Удмуртск</w:t>
      </w:r>
      <w:r w:rsidR="002C7F87" w:rsidRPr="004A1424">
        <w:rPr>
          <w:rFonts w:ascii="Times New Roman" w:hAnsi="Times New Roman" w:cs="Times New Roman"/>
          <w:sz w:val="28"/>
          <w:szCs w:val="28"/>
        </w:rPr>
        <w:t>ой Республики «</w:t>
      </w:r>
      <w:r w:rsidR="002C589E" w:rsidRPr="004A1424">
        <w:rPr>
          <w:rFonts w:ascii="Times New Roman" w:hAnsi="Times New Roman" w:cs="Times New Roman"/>
          <w:sz w:val="28"/>
          <w:szCs w:val="28"/>
        </w:rPr>
        <w:t>Региональный цент</w:t>
      </w:r>
      <w:r w:rsidR="002C7F87" w:rsidRPr="004A1424">
        <w:rPr>
          <w:rFonts w:ascii="Times New Roman" w:hAnsi="Times New Roman" w:cs="Times New Roman"/>
          <w:sz w:val="28"/>
          <w:szCs w:val="28"/>
        </w:rPr>
        <w:t>р закупок Удмуртской Республики»</w:t>
      </w:r>
      <w:r w:rsidR="002C589E" w:rsidRPr="004A1424">
        <w:rPr>
          <w:rFonts w:ascii="Times New Roman" w:hAnsi="Times New Roman" w:cs="Times New Roman"/>
          <w:sz w:val="28"/>
          <w:szCs w:val="28"/>
        </w:rPr>
        <w:t>,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позволяет снизить риски нарушения анти</w:t>
      </w:r>
      <w:r w:rsidR="002C7F87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монопольного законодательства.</w:t>
      </w:r>
    </w:p>
    <w:p w:rsidR="002C7F87" w:rsidRPr="004A1424" w:rsidRDefault="002C7F87" w:rsidP="002C7F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Управления сформирован и размещен раздел  «Государственные закупки», в котором размещена вся информация о производимых Управлением закупках.</w:t>
      </w:r>
    </w:p>
    <w:p w:rsidR="00C70A22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5116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16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16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A5116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действия Управления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осуществления закупок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поступало</w:t>
      </w:r>
      <w:r w:rsidR="002C589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5C4E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 анализ практики применения 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законодательства показал, что в деятельности </w:t>
      </w:r>
      <w:r w:rsidR="00C70A22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нарушения антимонопольного законодательства не выявлены.</w:t>
      </w:r>
    </w:p>
    <w:p w:rsidR="00A51160" w:rsidRPr="004A1424" w:rsidRDefault="00A51160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исключения положений, противоречащих нормам антимонопольного законодательства на стадии разработки проектов нормативных правовых актов, договоров, соглашений, юридическим сектором на постоянной основе проводится правовая экспертиза указанных документов, подготавливаемых структурными подразделениями Управления.</w:t>
      </w:r>
    </w:p>
    <w:p w:rsidR="009A0B50" w:rsidRPr="004A1424" w:rsidRDefault="003C5C4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итогам проведенного анализа нормативных правовых актов (проектов нормативных правовых актов) </w:t>
      </w:r>
      <w:r w:rsidR="009A0B5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вывод об их соответствии антимонопольному законодательству</w:t>
      </w:r>
      <w:r w:rsidR="009A0B50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1815" w:rsidRPr="004A1424" w:rsidRDefault="00D37E76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мероприятия по организации и функционированию в Управлении антимонопольного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году, по стоянию на 01.01.2021 г., исполнены.</w:t>
      </w:r>
    </w:p>
    <w:p w:rsidR="002B1815" w:rsidRPr="004A1424" w:rsidRDefault="002B1815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2DE" w:rsidRPr="004A1424" w:rsidRDefault="006222DE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815" w:rsidRPr="004A1424" w:rsidRDefault="002B1815" w:rsidP="002B181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раздела 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об антимонопольном </w:t>
      </w:r>
      <w:proofErr w:type="spellStart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1424">
        <w:rPr>
          <w:rFonts w:ascii="Times New Roman" w:hAnsi="Times New Roman"/>
          <w:sz w:val="28"/>
          <w:szCs w:val="28"/>
        </w:rPr>
        <w:t xml:space="preserve">Приказом от 29.08.2019 г. № 01-03/114, утверждены ключевые показатели эффективности функционирования антимонопольного </w:t>
      </w:r>
      <w:proofErr w:type="spellStart"/>
      <w:r w:rsidRPr="004A1424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1424">
        <w:rPr>
          <w:rFonts w:ascii="Times New Roman" w:hAnsi="Times New Roman"/>
          <w:sz w:val="28"/>
          <w:szCs w:val="28"/>
        </w:rPr>
        <w:t xml:space="preserve"> в Управлении и критерии их оценки, а именно:</w:t>
      </w:r>
    </w:p>
    <w:p w:rsidR="002B1815" w:rsidRPr="004A1424" w:rsidRDefault="002B1815" w:rsidP="002B18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1) </w:t>
      </w:r>
      <w:r w:rsidRPr="004A1424">
        <w:rPr>
          <w:rStyle w:val="1"/>
          <w:rFonts w:eastAsiaTheme="minorHAnsi"/>
          <w:sz w:val="28"/>
          <w:szCs w:val="28"/>
        </w:rPr>
        <w:t>Отсутствие нарушений антимонопольного законодательства в текущем году</w:t>
      </w:r>
      <w:r w:rsidRPr="004A1424">
        <w:rPr>
          <w:rFonts w:ascii="Times New Roman" w:hAnsi="Times New Roman"/>
          <w:sz w:val="28"/>
          <w:szCs w:val="28"/>
        </w:rPr>
        <w:t>;</w:t>
      </w:r>
    </w:p>
    <w:p w:rsidR="002B1815" w:rsidRPr="004A1424" w:rsidRDefault="002B1815" w:rsidP="002B18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2) </w:t>
      </w:r>
      <w:r w:rsidRPr="004A1424">
        <w:rPr>
          <w:rStyle w:val="1"/>
          <w:rFonts w:eastAsiaTheme="minorHAnsi"/>
          <w:sz w:val="28"/>
          <w:szCs w:val="28"/>
        </w:rPr>
        <w:t xml:space="preserve">Проведение семинаров, мероприятий по вопросам, связанным с соблюдением антимонопольного законодательства и антимонопольным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комплаенсом</w:t>
      </w:r>
      <w:proofErr w:type="spellEnd"/>
      <w:r w:rsidRPr="004A1424">
        <w:rPr>
          <w:rFonts w:ascii="Times New Roman" w:hAnsi="Times New Roman"/>
          <w:sz w:val="28"/>
          <w:szCs w:val="28"/>
        </w:rPr>
        <w:t>;</w:t>
      </w:r>
    </w:p>
    <w:p w:rsidR="002B1815" w:rsidRPr="004A1424" w:rsidRDefault="002B1815" w:rsidP="002B1815">
      <w:pPr>
        <w:pStyle w:val="2"/>
        <w:shd w:val="clear" w:color="auto" w:fill="auto"/>
        <w:spacing w:before="0" w:line="240" w:lineRule="auto"/>
        <w:ind w:left="152" w:right="57" w:firstLine="0"/>
        <w:rPr>
          <w:sz w:val="28"/>
          <w:szCs w:val="28"/>
        </w:rPr>
      </w:pPr>
      <w:r w:rsidRPr="004A1424">
        <w:rPr>
          <w:rFonts w:eastAsiaTheme="minorHAnsi"/>
          <w:sz w:val="28"/>
          <w:szCs w:val="28"/>
        </w:rPr>
        <w:t xml:space="preserve">          3) </w:t>
      </w:r>
      <w:r w:rsidRPr="004A1424">
        <w:rPr>
          <w:rStyle w:val="1"/>
          <w:sz w:val="28"/>
          <w:szCs w:val="28"/>
        </w:rPr>
        <w:t>Выполнение плана мероприятий «дорожной карты» по снижению рисков нарушения антимонопольного законодательства</w:t>
      </w:r>
    </w:p>
    <w:p w:rsidR="002B1815" w:rsidRPr="004A1424" w:rsidRDefault="002B1815" w:rsidP="002B18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24">
        <w:rPr>
          <w:rStyle w:val="1"/>
          <w:rFonts w:eastAsiaTheme="minorHAnsi"/>
          <w:sz w:val="28"/>
          <w:szCs w:val="28"/>
        </w:rPr>
        <w:t>-отсутствие необоснованных отклонений от плана («дорожной карты»)</w:t>
      </w:r>
      <w:r w:rsidRPr="004A1424">
        <w:rPr>
          <w:rFonts w:ascii="Times New Roman" w:hAnsi="Times New Roman"/>
          <w:sz w:val="28"/>
          <w:szCs w:val="28"/>
        </w:rPr>
        <w:t>;</w:t>
      </w:r>
    </w:p>
    <w:p w:rsidR="002B1815" w:rsidRPr="004A1424" w:rsidRDefault="002B1815" w:rsidP="002B18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4) </w:t>
      </w:r>
      <w:r w:rsidRPr="004A1424">
        <w:rPr>
          <w:rStyle w:val="1"/>
          <w:rFonts w:eastAsiaTheme="minorHAnsi"/>
          <w:sz w:val="28"/>
          <w:szCs w:val="28"/>
        </w:rPr>
        <w:t>Отсутствие обоснованных замечаний, собранных при проведении анализа проектов нормативных правовых актов и нормативных правовых актов.</w:t>
      </w:r>
    </w:p>
    <w:p w:rsidR="00BC095A" w:rsidRPr="004A1424" w:rsidRDefault="00D37E76" w:rsidP="003F7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утвержденными показателями, п</w:t>
      </w:r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роведена оценка эффективности функционирования антимонопольного </w:t>
      </w:r>
      <w:proofErr w:type="spellStart"/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 расчёт ключевых показателей оценки эффективности антимонопольного </w:t>
      </w:r>
      <w:proofErr w:type="spellStart"/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C589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 w:rsidR="003C5C4E" w:rsidRPr="004A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4A1424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1424">
        <w:rPr>
          <w:rFonts w:ascii="Times New Roman" w:hAnsi="Times New Roman"/>
          <w:sz w:val="28"/>
          <w:szCs w:val="28"/>
        </w:rPr>
        <w:t xml:space="preserve"> и расчет ключевых показателей оценки эффективности антимонопольного </w:t>
      </w:r>
      <w:proofErr w:type="spellStart"/>
      <w:r w:rsidRPr="004A1424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1424">
        <w:rPr>
          <w:rFonts w:ascii="Times New Roman" w:hAnsi="Times New Roman"/>
          <w:sz w:val="28"/>
          <w:szCs w:val="28"/>
        </w:rPr>
        <w:t xml:space="preserve"> в </w:t>
      </w:r>
      <w:r w:rsidR="0042041A" w:rsidRPr="004A1424">
        <w:rPr>
          <w:rFonts w:ascii="Times New Roman" w:hAnsi="Times New Roman"/>
          <w:sz w:val="28"/>
          <w:szCs w:val="28"/>
        </w:rPr>
        <w:t>Управлении</w:t>
      </w:r>
      <w:r w:rsidRPr="004A1424">
        <w:rPr>
          <w:rFonts w:ascii="Times New Roman" w:hAnsi="Times New Roman"/>
          <w:sz w:val="28"/>
          <w:szCs w:val="28"/>
        </w:rPr>
        <w:t xml:space="preserve"> осуществляется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4A1424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4A1424">
        <w:rPr>
          <w:rFonts w:ascii="Times New Roman" w:hAnsi="Times New Roman"/>
          <w:sz w:val="28"/>
          <w:szCs w:val="28"/>
        </w:rPr>
        <w:t>, утвержденной приказом Федеральной антимонопольной службы от 05 февраля 2019 г. № 133/19 (далее – Методика).</w:t>
      </w:r>
    </w:p>
    <w:p w:rsidR="006222DE" w:rsidRPr="004A1424" w:rsidRDefault="006222D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>По ключевому показателю</w:t>
      </w:r>
      <w:r w:rsidR="0042041A" w:rsidRPr="004A1424">
        <w:rPr>
          <w:rFonts w:ascii="Times New Roman" w:hAnsi="Times New Roman"/>
          <w:sz w:val="28"/>
          <w:szCs w:val="28"/>
        </w:rPr>
        <w:t xml:space="preserve"> №</w:t>
      </w:r>
      <w:r w:rsidR="00440C1F" w:rsidRPr="004A1424">
        <w:rPr>
          <w:rFonts w:ascii="Times New Roman" w:hAnsi="Times New Roman"/>
          <w:sz w:val="28"/>
          <w:szCs w:val="28"/>
        </w:rPr>
        <w:t xml:space="preserve"> </w:t>
      </w:r>
      <w:r w:rsidR="0042041A" w:rsidRPr="004A1424">
        <w:rPr>
          <w:rFonts w:ascii="Times New Roman" w:hAnsi="Times New Roman"/>
          <w:sz w:val="28"/>
          <w:szCs w:val="28"/>
        </w:rPr>
        <w:t>1 «</w:t>
      </w:r>
      <w:r w:rsidR="0042041A" w:rsidRPr="004A1424">
        <w:rPr>
          <w:rStyle w:val="1"/>
          <w:rFonts w:eastAsiaTheme="minorHAnsi"/>
          <w:sz w:val="28"/>
          <w:szCs w:val="28"/>
        </w:rPr>
        <w:t xml:space="preserve">Отсутствие нарушений антимонопольного законодательства в текущем году» рассчитан </w:t>
      </w:r>
      <w:r w:rsidR="0042041A" w:rsidRPr="004A1424">
        <w:rPr>
          <w:rFonts w:ascii="Times New Roman" w:hAnsi="Times New Roman"/>
          <w:sz w:val="28"/>
          <w:szCs w:val="28"/>
        </w:rPr>
        <w:t xml:space="preserve"> к</w:t>
      </w:r>
      <w:r w:rsidRPr="004A1424">
        <w:rPr>
          <w:rFonts w:ascii="Times New Roman" w:hAnsi="Times New Roman"/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42041A" w:rsidRPr="004A1424">
        <w:rPr>
          <w:rFonts w:ascii="Times New Roman" w:hAnsi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/>
          <w:sz w:val="28"/>
          <w:szCs w:val="28"/>
        </w:rPr>
        <w:t>(по сравнению с 2017 годом)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lastRenderedPageBreak/>
        <w:drawing>
          <wp:inline distT="0" distB="0" distL="0" distR="0" wp14:anchorId="3DF28709" wp14:editId="1C33418F">
            <wp:extent cx="134874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4">
        <w:rPr>
          <w:rFonts w:ascii="Times New Roman" w:hAnsi="Times New Roman" w:cs="Times New Roman"/>
          <w:sz w:val="28"/>
          <w:szCs w:val="28"/>
        </w:rPr>
        <w:t>, где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42041A" w:rsidRPr="004A142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 w:cs="Times New Roman"/>
          <w:sz w:val="28"/>
          <w:szCs w:val="28"/>
        </w:rPr>
        <w:t>по сравнению с 2017 годом;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>КН</w:t>
      </w:r>
      <w:r w:rsidRPr="004A1424">
        <w:rPr>
          <w:rFonts w:ascii="Times New Roman" w:hAnsi="Times New Roman" w:cs="Times New Roman"/>
          <w:sz w:val="28"/>
          <w:szCs w:val="28"/>
          <w:vertAlign w:val="subscript"/>
        </w:rPr>
        <w:t>2017</w:t>
      </w:r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42041A" w:rsidRPr="004A142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 w:cs="Times New Roman"/>
          <w:sz w:val="28"/>
          <w:szCs w:val="28"/>
        </w:rPr>
        <w:t>в 2017 году</w:t>
      </w:r>
      <w:r w:rsidR="00F5311A" w:rsidRPr="004A1424">
        <w:rPr>
          <w:rFonts w:ascii="Times New Roman" w:hAnsi="Times New Roman" w:cs="Times New Roman"/>
          <w:sz w:val="28"/>
          <w:szCs w:val="28"/>
        </w:rPr>
        <w:t xml:space="preserve"> равно «0»</w:t>
      </w:r>
      <w:r w:rsidRPr="004A1424">
        <w:rPr>
          <w:rFonts w:ascii="Times New Roman" w:hAnsi="Times New Roman" w:cs="Times New Roman"/>
          <w:sz w:val="28"/>
          <w:szCs w:val="28"/>
        </w:rPr>
        <w:t>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42041A" w:rsidRPr="004A142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F5311A" w:rsidRPr="004A1424">
        <w:rPr>
          <w:rFonts w:ascii="Times New Roman" w:hAnsi="Times New Roman" w:cs="Times New Roman"/>
          <w:sz w:val="28"/>
          <w:szCs w:val="28"/>
        </w:rPr>
        <w:t xml:space="preserve"> (2020 год) равно «0»</w:t>
      </w:r>
      <w:r w:rsidRPr="004A1424">
        <w:rPr>
          <w:rFonts w:ascii="Times New Roman" w:hAnsi="Times New Roman" w:cs="Times New Roman"/>
          <w:sz w:val="28"/>
          <w:szCs w:val="28"/>
        </w:rPr>
        <w:t>.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При расчете коэффициента под нарушением антимонопольного законодательства со стороны </w:t>
      </w:r>
      <w:r w:rsidR="0042041A" w:rsidRPr="004A1424">
        <w:rPr>
          <w:rFonts w:ascii="Times New Roman" w:hAnsi="Times New Roman" w:cs="Times New Roman"/>
          <w:sz w:val="28"/>
          <w:szCs w:val="28"/>
        </w:rPr>
        <w:t>Управления</w:t>
      </w:r>
      <w:r w:rsidRPr="004A1424">
        <w:rPr>
          <w:rFonts w:ascii="Times New Roman" w:hAnsi="Times New Roman" w:cs="Times New Roman"/>
          <w:sz w:val="28"/>
          <w:szCs w:val="28"/>
        </w:rPr>
        <w:t xml:space="preserve"> понимаются: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 w:rsidR="00911489" w:rsidRPr="004A142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 w:cs="Times New Roman"/>
          <w:sz w:val="28"/>
          <w:szCs w:val="28"/>
        </w:rPr>
        <w:t>антимонопольные дела;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911489" w:rsidRPr="004A142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A1424">
        <w:rPr>
          <w:rFonts w:ascii="Times New Roman" w:hAnsi="Times New Roman" w:cs="Times New Roman"/>
          <w:sz w:val="28"/>
          <w:szCs w:val="28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="00911489" w:rsidRPr="004A1424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4A1424"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2C589E" w:rsidRPr="004A1424" w:rsidRDefault="00F5311A" w:rsidP="003F740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 xml:space="preserve">Таким образом, коэффициент снижения количества нарушений </w:t>
      </w:r>
      <w:r w:rsidR="002C589E" w:rsidRPr="004A1424">
        <w:rPr>
          <w:rFonts w:ascii="Times New Roman" w:eastAsiaTheme="minorHAnsi" w:hAnsi="Times New Roman" w:cs="Times New Roman"/>
          <w:sz w:val="28"/>
          <w:szCs w:val="28"/>
        </w:rPr>
        <w:t xml:space="preserve">антимонопольного законодательства со стороны </w:t>
      </w:r>
      <w:r w:rsidR="0042041A" w:rsidRPr="004A1424">
        <w:rPr>
          <w:rFonts w:ascii="Times New Roman" w:eastAsiaTheme="minorHAnsi" w:hAnsi="Times New Roman" w:cs="Times New Roman"/>
          <w:sz w:val="28"/>
          <w:szCs w:val="28"/>
        </w:rPr>
        <w:t>Управления</w:t>
      </w:r>
      <w:r w:rsidR="002C589E" w:rsidRPr="004A142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>в отчетном периоде (по сравнению с 2017 годом) равен «0»</w:t>
      </w:r>
      <w:r w:rsidR="002C589E" w:rsidRPr="004A142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222DE" w:rsidRPr="004A1424" w:rsidRDefault="006222DE" w:rsidP="003F740F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C589E" w:rsidRPr="004A1424" w:rsidRDefault="002C589E" w:rsidP="003F740F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A1424">
        <w:rPr>
          <w:rFonts w:ascii="Times New Roman" w:eastAsiaTheme="minorHAnsi" w:hAnsi="Times New Roman"/>
          <w:sz w:val="28"/>
          <w:szCs w:val="28"/>
        </w:rPr>
        <w:t xml:space="preserve">По ключевому показателю 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>№</w:t>
      </w:r>
      <w:r w:rsidR="00440C1F" w:rsidRPr="004A1424">
        <w:rPr>
          <w:rFonts w:ascii="Times New Roman" w:eastAsiaTheme="minorHAnsi" w:hAnsi="Times New Roman"/>
          <w:sz w:val="28"/>
          <w:szCs w:val="28"/>
        </w:rPr>
        <w:t xml:space="preserve"> 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>4 «</w:t>
      </w:r>
      <w:r w:rsidR="00570E5D" w:rsidRPr="004A1424">
        <w:rPr>
          <w:rStyle w:val="1"/>
          <w:sz w:val="28"/>
          <w:szCs w:val="28"/>
        </w:rPr>
        <w:t>Отсутствие обоснованных замечаний, собранных при проведении анализа проектов нормативных правовых актов</w:t>
      </w:r>
      <w:r w:rsidR="00570E5D" w:rsidRPr="004A1424">
        <w:rPr>
          <w:rStyle w:val="1"/>
          <w:rFonts w:eastAsiaTheme="minorHAnsi"/>
          <w:sz w:val="28"/>
          <w:szCs w:val="28"/>
        </w:rPr>
        <w:t xml:space="preserve"> и </w:t>
      </w:r>
      <w:r w:rsidR="00570E5D" w:rsidRPr="004A1424">
        <w:rPr>
          <w:rStyle w:val="1"/>
          <w:sz w:val="28"/>
          <w:szCs w:val="28"/>
        </w:rPr>
        <w:t>нормативных правовых актов» рассчитана д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оля проектов нормативных правовых актов 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>Управления</w:t>
      </w:r>
      <w:r w:rsidRPr="004A1424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>.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7566C3E4" wp14:editId="027603D5">
            <wp:extent cx="149352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4">
        <w:rPr>
          <w:rFonts w:ascii="Times New Roman" w:hAnsi="Times New Roman" w:cs="Times New Roman"/>
          <w:sz w:val="28"/>
          <w:szCs w:val="28"/>
        </w:rPr>
        <w:t>, где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 w:rsidR="00570E5D" w:rsidRPr="004A1424">
        <w:rPr>
          <w:rFonts w:ascii="Times New Roman" w:hAnsi="Times New Roman" w:cs="Times New Roman"/>
          <w:sz w:val="28"/>
          <w:szCs w:val="28"/>
        </w:rPr>
        <w:t>Управления</w:t>
      </w:r>
      <w:r w:rsidRPr="004A142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</w:t>
      </w:r>
      <w:r w:rsidR="00911489" w:rsidRPr="004A142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A1424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570E5D" w:rsidRPr="004A1424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4A1424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(в отчетном периоде)</w:t>
      </w:r>
      <w:r w:rsidR="00647B2E" w:rsidRPr="004A1424">
        <w:rPr>
          <w:rFonts w:ascii="Times New Roman" w:hAnsi="Times New Roman" w:cs="Times New Roman"/>
          <w:sz w:val="28"/>
          <w:szCs w:val="28"/>
        </w:rPr>
        <w:t xml:space="preserve"> равно «0»</w:t>
      </w:r>
      <w:r w:rsidRPr="004A1424">
        <w:rPr>
          <w:rFonts w:ascii="Times New Roman" w:hAnsi="Times New Roman" w:cs="Times New Roman"/>
          <w:sz w:val="28"/>
          <w:szCs w:val="28"/>
        </w:rPr>
        <w:t>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lastRenderedPageBreak/>
        <w:t>КНоп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570E5D" w:rsidRPr="004A1424">
        <w:rPr>
          <w:rFonts w:ascii="Times New Roman" w:hAnsi="Times New Roman" w:cs="Times New Roman"/>
          <w:sz w:val="28"/>
          <w:szCs w:val="28"/>
        </w:rPr>
        <w:t>Управления</w:t>
      </w:r>
      <w:r w:rsidRPr="004A1424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</w:t>
      </w:r>
      <w:r w:rsidR="00647B2E" w:rsidRPr="004A1424">
        <w:rPr>
          <w:rFonts w:ascii="Times New Roman" w:hAnsi="Times New Roman" w:cs="Times New Roman"/>
          <w:sz w:val="28"/>
          <w:szCs w:val="28"/>
        </w:rPr>
        <w:t xml:space="preserve"> равно «0»</w:t>
      </w:r>
      <w:r w:rsidRPr="004A1424">
        <w:rPr>
          <w:rFonts w:ascii="Times New Roman" w:hAnsi="Times New Roman" w:cs="Times New Roman"/>
          <w:sz w:val="28"/>
          <w:szCs w:val="28"/>
        </w:rPr>
        <w:t>.</w:t>
      </w:r>
    </w:p>
    <w:p w:rsidR="002C589E" w:rsidRPr="004A1424" w:rsidRDefault="002C589E" w:rsidP="003F740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>С учетом информации, изложенной в настояще</w:t>
      </w:r>
      <w:r w:rsidR="00570E5D" w:rsidRPr="004A1424">
        <w:rPr>
          <w:rFonts w:ascii="Times New Roman" w:hAnsi="Times New Roman"/>
          <w:sz w:val="28"/>
          <w:szCs w:val="28"/>
        </w:rPr>
        <w:t>м д</w:t>
      </w:r>
      <w:r w:rsidRPr="004A1424">
        <w:rPr>
          <w:rFonts w:ascii="Times New Roman" w:hAnsi="Times New Roman"/>
          <w:sz w:val="28"/>
          <w:szCs w:val="28"/>
        </w:rPr>
        <w:t>оклад</w:t>
      </w:r>
      <w:r w:rsidR="00570E5D" w:rsidRPr="004A1424">
        <w:rPr>
          <w:rFonts w:ascii="Times New Roman" w:hAnsi="Times New Roman"/>
          <w:sz w:val="28"/>
          <w:szCs w:val="28"/>
        </w:rPr>
        <w:t>е</w:t>
      </w:r>
      <w:r w:rsidRPr="004A1424">
        <w:rPr>
          <w:rFonts w:ascii="Times New Roman" w:hAnsi="Times New Roman"/>
          <w:sz w:val="28"/>
          <w:szCs w:val="28"/>
        </w:rPr>
        <w:t>, в 20</w:t>
      </w:r>
      <w:r w:rsidR="00440C1F" w:rsidRPr="004A1424">
        <w:rPr>
          <w:rFonts w:ascii="Times New Roman" w:hAnsi="Times New Roman"/>
          <w:sz w:val="28"/>
          <w:szCs w:val="28"/>
        </w:rPr>
        <w:t>20</w:t>
      </w:r>
      <w:r w:rsidRPr="004A1424">
        <w:rPr>
          <w:rFonts w:ascii="Times New Roman" w:hAnsi="Times New Roman"/>
          <w:sz w:val="28"/>
          <w:szCs w:val="28"/>
        </w:rPr>
        <w:t xml:space="preserve"> году 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проекты нормативных правовых актов 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>Управления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, в которых выявлены риски нарушения антимонопольного законодательства, и отсутствовали 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 xml:space="preserve">нормативные правовые акты </w:t>
      </w:r>
      <w:r w:rsidR="00570E5D" w:rsidRPr="004A1424">
        <w:rPr>
          <w:rFonts w:ascii="Times New Roman" w:eastAsiaTheme="minorHAnsi" w:hAnsi="Times New Roman" w:cs="Times New Roman"/>
          <w:sz w:val="28"/>
          <w:szCs w:val="28"/>
        </w:rPr>
        <w:t>Управления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2C589E" w:rsidRPr="004A1424" w:rsidRDefault="002C589E" w:rsidP="003F740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1424"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4A1424">
        <w:rPr>
          <w:rFonts w:ascii="Times New Roman" w:eastAsiaTheme="minorHAnsi" w:hAnsi="Times New Roman"/>
          <w:sz w:val="28"/>
          <w:szCs w:val="28"/>
        </w:rPr>
        <w:t>оля проектов нормативных правовых актов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, в которых выявлены риски нарушения антимонопольного законодательства, </w:t>
      </w:r>
      <w:r w:rsidR="00647B2E" w:rsidRPr="004A1424">
        <w:rPr>
          <w:rFonts w:ascii="Times New Roman" w:eastAsiaTheme="minorHAnsi" w:hAnsi="Times New Roman"/>
          <w:sz w:val="28"/>
          <w:szCs w:val="28"/>
        </w:rPr>
        <w:t>за отчетный период равна «0»</w:t>
      </w:r>
      <w:r w:rsidRPr="004A1424">
        <w:rPr>
          <w:rFonts w:ascii="Times New Roman" w:eastAsiaTheme="minorHAnsi" w:hAnsi="Times New Roman"/>
          <w:sz w:val="28"/>
          <w:szCs w:val="28"/>
        </w:rPr>
        <w:t>.</w:t>
      </w:r>
    </w:p>
    <w:p w:rsidR="002C589E" w:rsidRPr="004A1424" w:rsidRDefault="00570E5D" w:rsidP="003F740F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A1424">
        <w:rPr>
          <w:rFonts w:ascii="Times New Roman" w:eastAsiaTheme="minorHAnsi" w:hAnsi="Times New Roman"/>
          <w:sz w:val="28"/>
          <w:szCs w:val="28"/>
        </w:rPr>
        <w:t>Также рассчитана д</w:t>
      </w:r>
      <w:r w:rsidR="002C589E" w:rsidRPr="004A1424">
        <w:rPr>
          <w:rFonts w:ascii="Times New Roman" w:eastAsiaTheme="minorHAnsi" w:hAnsi="Times New Roman"/>
          <w:sz w:val="28"/>
          <w:szCs w:val="28"/>
        </w:rPr>
        <w:t>оля нормативных правовых актов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="002C589E" w:rsidRPr="004A1424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</w:t>
      </w:r>
      <w:r w:rsidRPr="004A1424">
        <w:rPr>
          <w:rFonts w:ascii="Times New Roman" w:eastAsiaTheme="minorHAnsi" w:hAnsi="Times New Roman"/>
          <w:sz w:val="28"/>
          <w:szCs w:val="28"/>
        </w:rPr>
        <w:t>.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sz w:val="28"/>
          <w:szCs w:val="28"/>
        </w:rPr>
        <w:t>Данный показатель рассчитан по формуле: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424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047DBB8E" wp14:editId="6690DA67">
            <wp:extent cx="1318260" cy="548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4">
        <w:rPr>
          <w:rFonts w:ascii="Times New Roman" w:hAnsi="Times New Roman" w:cs="Times New Roman"/>
          <w:sz w:val="28"/>
          <w:szCs w:val="28"/>
        </w:rPr>
        <w:t>, где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</w:t>
      </w:r>
      <w:r w:rsidR="00570E5D" w:rsidRPr="004A1424">
        <w:rPr>
          <w:rFonts w:ascii="Times New Roman" w:hAnsi="Times New Roman"/>
          <w:sz w:val="28"/>
          <w:szCs w:val="28"/>
        </w:rPr>
        <w:t xml:space="preserve"> Управления</w:t>
      </w:r>
      <w:r w:rsidRPr="004A142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</w:t>
      </w:r>
      <w:r w:rsidR="00570E5D" w:rsidRPr="004A1424">
        <w:rPr>
          <w:rFonts w:ascii="Times New Roman" w:hAnsi="Times New Roman"/>
          <w:sz w:val="28"/>
          <w:szCs w:val="28"/>
        </w:rPr>
        <w:t xml:space="preserve"> Управления</w:t>
      </w:r>
      <w:r w:rsidRPr="004A1424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570E5D" w:rsidRPr="004A1424">
        <w:rPr>
          <w:rFonts w:ascii="Times New Roman" w:hAnsi="Times New Roman"/>
          <w:sz w:val="28"/>
          <w:szCs w:val="28"/>
        </w:rPr>
        <w:t>Управлением</w:t>
      </w:r>
      <w:r w:rsidR="00570E5D" w:rsidRPr="004A1424">
        <w:rPr>
          <w:rFonts w:ascii="Times New Roman" w:hAnsi="Times New Roman" w:cs="Times New Roman"/>
          <w:sz w:val="28"/>
          <w:szCs w:val="28"/>
        </w:rPr>
        <w:t xml:space="preserve"> </w:t>
      </w:r>
      <w:r w:rsidRPr="004A1424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(в отчетном периоде)</w:t>
      </w:r>
      <w:r w:rsidR="00647B2E" w:rsidRPr="004A1424">
        <w:rPr>
          <w:rFonts w:ascii="Times New Roman" w:hAnsi="Times New Roman" w:cs="Times New Roman"/>
          <w:sz w:val="28"/>
          <w:szCs w:val="28"/>
        </w:rPr>
        <w:t xml:space="preserve"> равно «0»</w:t>
      </w:r>
      <w:r w:rsidRPr="004A1424">
        <w:rPr>
          <w:rFonts w:ascii="Times New Roman" w:hAnsi="Times New Roman" w:cs="Times New Roman"/>
          <w:sz w:val="28"/>
          <w:szCs w:val="28"/>
        </w:rPr>
        <w:t>;</w:t>
      </w:r>
    </w:p>
    <w:p w:rsidR="002C589E" w:rsidRPr="004A1424" w:rsidRDefault="002C589E" w:rsidP="003F74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424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4A1424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</w:t>
      </w:r>
      <w:r w:rsidR="00570E5D" w:rsidRPr="004A1424">
        <w:rPr>
          <w:rFonts w:ascii="Times New Roman" w:hAnsi="Times New Roman"/>
          <w:sz w:val="28"/>
          <w:szCs w:val="28"/>
        </w:rPr>
        <w:t xml:space="preserve"> Управления</w:t>
      </w:r>
      <w:r w:rsidRPr="004A1424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</w:t>
      </w:r>
      <w:r w:rsidR="00647B2E" w:rsidRPr="004A1424">
        <w:rPr>
          <w:rFonts w:ascii="Times New Roman" w:hAnsi="Times New Roman" w:cs="Times New Roman"/>
          <w:sz w:val="28"/>
          <w:szCs w:val="28"/>
        </w:rPr>
        <w:t xml:space="preserve"> равно «0»</w:t>
      </w:r>
      <w:r w:rsidRPr="004A1424">
        <w:rPr>
          <w:rFonts w:ascii="Times New Roman" w:hAnsi="Times New Roman" w:cs="Times New Roman"/>
          <w:sz w:val="28"/>
          <w:szCs w:val="28"/>
        </w:rPr>
        <w:t>.</w:t>
      </w:r>
    </w:p>
    <w:p w:rsidR="002C589E" w:rsidRPr="004A1424" w:rsidRDefault="002C589E" w:rsidP="003F740F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>С учетом информации, изложенной в настояще</w:t>
      </w:r>
      <w:r w:rsidR="00570E5D" w:rsidRPr="004A1424">
        <w:rPr>
          <w:rFonts w:ascii="Times New Roman" w:hAnsi="Times New Roman"/>
          <w:sz w:val="28"/>
          <w:szCs w:val="28"/>
        </w:rPr>
        <w:t>м</w:t>
      </w:r>
      <w:r w:rsidRPr="004A1424">
        <w:rPr>
          <w:rFonts w:ascii="Times New Roman" w:hAnsi="Times New Roman"/>
          <w:sz w:val="28"/>
          <w:szCs w:val="28"/>
        </w:rPr>
        <w:t xml:space="preserve"> </w:t>
      </w:r>
      <w:r w:rsidR="00570E5D" w:rsidRPr="004A1424">
        <w:rPr>
          <w:rFonts w:ascii="Times New Roman" w:hAnsi="Times New Roman"/>
          <w:sz w:val="28"/>
          <w:szCs w:val="28"/>
        </w:rPr>
        <w:t>д</w:t>
      </w:r>
      <w:r w:rsidRPr="004A1424">
        <w:rPr>
          <w:rFonts w:ascii="Times New Roman" w:hAnsi="Times New Roman"/>
          <w:sz w:val="28"/>
          <w:szCs w:val="28"/>
        </w:rPr>
        <w:t>окла</w:t>
      </w:r>
      <w:r w:rsidR="00570E5D" w:rsidRPr="004A1424">
        <w:rPr>
          <w:rFonts w:ascii="Times New Roman" w:hAnsi="Times New Roman"/>
          <w:sz w:val="28"/>
          <w:szCs w:val="28"/>
        </w:rPr>
        <w:t>де</w:t>
      </w:r>
      <w:r w:rsidRPr="004A1424">
        <w:rPr>
          <w:rFonts w:ascii="Times New Roman" w:hAnsi="Times New Roman"/>
          <w:sz w:val="28"/>
          <w:szCs w:val="28"/>
        </w:rPr>
        <w:t>, в 20</w:t>
      </w:r>
      <w:r w:rsidR="00440C1F" w:rsidRPr="004A1424">
        <w:rPr>
          <w:rFonts w:ascii="Times New Roman" w:hAnsi="Times New Roman"/>
          <w:sz w:val="28"/>
          <w:szCs w:val="28"/>
        </w:rPr>
        <w:t>20</w:t>
      </w:r>
      <w:r w:rsidRPr="004A1424">
        <w:rPr>
          <w:rFonts w:ascii="Times New Roman" w:hAnsi="Times New Roman"/>
          <w:sz w:val="28"/>
          <w:szCs w:val="28"/>
        </w:rPr>
        <w:t xml:space="preserve"> году 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 xml:space="preserve">отсутствовали </w:t>
      </w:r>
      <w:r w:rsidRPr="004A1424">
        <w:rPr>
          <w:rFonts w:ascii="Times New Roman" w:eastAsiaTheme="minorHAnsi" w:hAnsi="Times New Roman"/>
          <w:sz w:val="28"/>
          <w:szCs w:val="28"/>
        </w:rPr>
        <w:t>нормативные правовые акты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, в которых выявлены риски нарушения антимонопольного законодательства, и отсутствовали 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>нормативные правовые акты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Pr="004A1424">
        <w:rPr>
          <w:rFonts w:ascii="Times New Roman" w:eastAsiaTheme="minorHAnsi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законодательства.</w:t>
      </w:r>
    </w:p>
    <w:p w:rsidR="002C589E" w:rsidRPr="004A1424" w:rsidRDefault="002C589E" w:rsidP="003F740F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4A1424">
        <w:rPr>
          <w:rFonts w:ascii="Times New Roman" w:eastAsiaTheme="minorHAnsi" w:hAnsi="Times New Roman" w:cs="Times New Roman"/>
          <w:sz w:val="28"/>
          <w:szCs w:val="28"/>
        </w:rPr>
        <w:t>Таким образом, д</w:t>
      </w:r>
      <w:r w:rsidRPr="004A1424">
        <w:rPr>
          <w:rFonts w:ascii="Times New Roman" w:eastAsiaTheme="minorHAnsi" w:hAnsi="Times New Roman"/>
          <w:sz w:val="28"/>
          <w:szCs w:val="28"/>
        </w:rPr>
        <w:t>оля нормативных правовых актов</w:t>
      </w:r>
      <w:r w:rsidR="00570E5D" w:rsidRPr="004A1424">
        <w:rPr>
          <w:rFonts w:ascii="Times New Roman" w:eastAsiaTheme="minorHAnsi" w:hAnsi="Times New Roman"/>
          <w:sz w:val="28"/>
          <w:szCs w:val="28"/>
        </w:rPr>
        <w:t xml:space="preserve"> Управления</w:t>
      </w:r>
      <w:r w:rsidRPr="004A1424">
        <w:rPr>
          <w:rFonts w:ascii="Times New Roman" w:eastAsiaTheme="minorHAnsi" w:hAnsi="Times New Roman"/>
          <w:sz w:val="28"/>
          <w:szCs w:val="28"/>
        </w:rPr>
        <w:t>, в которых выявлены риски нарушения антимонопольного законодательства,</w:t>
      </w:r>
      <w:r w:rsidR="00DF5140" w:rsidRPr="004A1424">
        <w:rPr>
          <w:rFonts w:ascii="Times New Roman" w:eastAsiaTheme="minorHAnsi" w:hAnsi="Times New Roman"/>
          <w:sz w:val="28"/>
          <w:szCs w:val="28"/>
        </w:rPr>
        <w:t xml:space="preserve"> за отчетный период </w:t>
      </w:r>
      <w:r w:rsidRPr="004A1424">
        <w:rPr>
          <w:rFonts w:ascii="Times New Roman" w:eastAsiaTheme="minorHAnsi" w:hAnsi="Times New Roman"/>
          <w:sz w:val="28"/>
          <w:szCs w:val="28"/>
        </w:rPr>
        <w:t xml:space="preserve">равна </w:t>
      </w:r>
      <w:r w:rsidR="00DF5140" w:rsidRPr="004A1424">
        <w:rPr>
          <w:rFonts w:ascii="Times New Roman" w:eastAsiaTheme="minorHAnsi" w:hAnsi="Times New Roman"/>
          <w:sz w:val="28"/>
          <w:szCs w:val="28"/>
        </w:rPr>
        <w:t>«0»</w:t>
      </w:r>
      <w:r w:rsidRPr="004A1424">
        <w:rPr>
          <w:rFonts w:ascii="Times New Roman" w:eastAsiaTheme="minorHAnsi" w:hAnsi="Times New Roman"/>
          <w:sz w:val="28"/>
          <w:szCs w:val="28"/>
        </w:rPr>
        <w:t>.</w:t>
      </w:r>
    </w:p>
    <w:p w:rsidR="006222DE" w:rsidRPr="004A1424" w:rsidRDefault="006222DE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0E5D" w:rsidRPr="004A1424" w:rsidRDefault="00D74C77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4A1424">
        <w:rPr>
          <w:rFonts w:ascii="Times New Roman" w:hAnsi="Times New Roman"/>
          <w:sz w:val="28"/>
          <w:szCs w:val="28"/>
        </w:rPr>
        <w:t>Кл</w:t>
      </w:r>
      <w:r w:rsidR="00570E5D" w:rsidRPr="004A1424">
        <w:rPr>
          <w:rFonts w:ascii="Times New Roman" w:hAnsi="Times New Roman"/>
          <w:sz w:val="28"/>
          <w:szCs w:val="28"/>
        </w:rPr>
        <w:t>ючев</w:t>
      </w:r>
      <w:r w:rsidRPr="004A1424">
        <w:rPr>
          <w:rFonts w:ascii="Times New Roman" w:hAnsi="Times New Roman"/>
          <w:sz w:val="28"/>
          <w:szCs w:val="28"/>
        </w:rPr>
        <w:t>ые</w:t>
      </w:r>
      <w:r w:rsidR="00570E5D" w:rsidRPr="004A1424">
        <w:rPr>
          <w:rFonts w:ascii="Times New Roman" w:hAnsi="Times New Roman"/>
          <w:sz w:val="28"/>
          <w:szCs w:val="28"/>
        </w:rPr>
        <w:t xml:space="preserve"> показател</w:t>
      </w:r>
      <w:r w:rsidRPr="004A1424">
        <w:rPr>
          <w:rFonts w:ascii="Times New Roman" w:hAnsi="Times New Roman"/>
          <w:sz w:val="28"/>
          <w:szCs w:val="28"/>
        </w:rPr>
        <w:t>и</w:t>
      </w:r>
      <w:r w:rsidR="00570E5D" w:rsidRPr="004A1424">
        <w:rPr>
          <w:rFonts w:ascii="Times New Roman" w:hAnsi="Times New Roman"/>
          <w:sz w:val="28"/>
          <w:szCs w:val="28"/>
        </w:rPr>
        <w:t xml:space="preserve"> №</w:t>
      </w:r>
      <w:r w:rsidRPr="004A1424">
        <w:rPr>
          <w:rFonts w:ascii="Times New Roman" w:hAnsi="Times New Roman"/>
          <w:sz w:val="28"/>
          <w:szCs w:val="28"/>
        </w:rPr>
        <w:t xml:space="preserve"> </w:t>
      </w:r>
      <w:r w:rsidR="00570E5D" w:rsidRPr="004A1424">
        <w:rPr>
          <w:rFonts w:ascii="Times New Roman" w:hAnsi="Times New Roman"/>
          <w:sz w:val="28"/>
          <w:szCs w:val="28"/>
        </w:rPr>
        <w:t>2 «</w:t>
      </w:r>
      <w:r w:rsidR="00570E5D" w:rsidRPr="004A1424">
        <w:rPr>
          <w:rStyle w:val="1"/>
          <w:rFonts w:eastAsiaTheme="minorHAnsi"/>
          <w:sz w:val="28"/>
          <w:szCs w:val="28"/>
        </w:rPr>
        <w:t xml:space="preserve">Проведение семинаров, мероприятий по вопросам, связанным с соблюдением антимонопольного законодательства и антимонопольным </w:t>
      </w:r>
      <w:proofErr w:type="spellStart"/>
      <w:r w:rsidR="00570E5D" w:rsidRPr="004A1424">
        <w:rPr>
          <w:rStyle w:val="1"/>
          <w:rFonts w:eastAsiaTheme="minorHAnsi"/>
          <w:sz w:val="28"/>
          <w:szCs w:val="28"/>
        </w:rPr>
        <w:t>комплаенсом</w:t>
      </w:r>
      <w:proofErr w:type="spellEnd"/>
      <w:r w:rsidR="00570E5D" w:rsidRPr="004A1424">
        <w:rPr>
          <w:rStyle w:val="1"/>
          <w:rFonts w:eastAsiaTheme="minorHAnsi"/>
          <w:sz w:val="28"/>
          <w:szCs w:val="28"/>
        </w:rPr>
        <w:t>» и №</w:t>
      </w:r>
      <w:r w:rsidRPr="004A1424">
        <w:rPr>
          <w:rStyle w:val="1"/>
          <w:rFonts w:eastAsiaTheme="minorHAnsi"/>
          <w:sz w:val="28"/>
          <w:szCs w:val="28"/>
        </w:rPr>
        <w:t xml:space="preserve"> </w:t>
      </w:r>
      <w:r w:rsidR="00570E5D" w:rsidRPr="004A1424">
        <w:rPr>
          <w:rStyle w:val="1"/>
          <w:rFonts w:eastAsiaTheme="minorHAnsi"/>
          <w:sz w:val="28"/>
          <w:szCs w:val="28"/>
        </w:rPr>
        <w:t xml:space="preserve">3 «Выполнение плана мероприятий «дорожной карты» по снижению рисков нарушения антимонопольного законодательства </w:t>
      </w:r>
      <w:r w:rsidRPr="004A1424">
        <w:rPr>
          <w:rStyle w:val="1"/>
          <w:rFonts w:eastAsiaTheme="minorHAnsi"/>
          <w:sz w:val="28"/>
          <w:szCs w:val="28"/>
        </w:rPr>
        <w:t xml:space="preserve">– </w:t>
      </w:r>
      <w:r w:rsidR="00570E5D" w:rsidRPr="004A1424">
        <w:rPr>
          <w:rStyle w:val="1"/>
          <w:rFonts w:eastAsiaTheme="minorHAnsi"/>
          <w:sz w:val="28"/>
          <w:szCs w:val="28"/>
        </w:rPr>
        <w:t>отсутствие необоснованных отклонений от плана («дорожной карты»)», Управлением также выполнены.</w:t>
      </w:r>
    </w:p>
    <w:p w:rsidR="00BA6F33" w:rsidRPr="004A1424" w:rsidRDefault="00BA6F33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4A1424">
        <w:rPr>
          <w:rStyle w:val="1"/>
          <w:rFonts w:eastAsiaTheme="minorHAnsi"/>
          <w:sz w:val="28"/>
          <w:szCs w:val="28"/>
        </w:rPr>
        <w:lastRenderedPageBreak/>
        <w:t xml:space="preserve">В целях профилактики нарушений требований антимонопольного законодательства уполномоченным подразделением на постоянной основе проводится консультирование государственных служащих Управления по вопросам, связанным с соблюдением антимонопольного законодательства и антимонопольного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комплаенса</w:t>
      </w:r>
      <w:proofErr w:type="spellEnd"/>
      <w:r w:rsidRPr="004A1424">
        <w:rPr>
          <w:rStyle w:val="1"/>
          <w:rFonts w:eastAsiaTheme="minorHAnsi"/>
          <w:sz w:val="28"/>
          <w:szCs w:val="28"/>
        </w:rPr>
        <w:t>.</w:t>
      </w:r>
    </w:p>
    <w:p w:rsidR="006222DE" w:rsidRPr="004A1424" w:rsidRDefault="006222DE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6222DE" w:rsidRPr="004A1424" w:rsidRDefault="006222DE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</w:p>
    <w:p w:rsidR="00BA6F33" w:rsidRPr="004A1424" w:rsidRDefault="00BA6F33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4A1424">
        <w:rPr>
          <w:rStyle w:val="1"/>
          <w:rFonts w:eastAsiaTheme="minorHAnsi"/>
          <w:sz w:val="28"/>
          <w:szCs w:val="28"/>
        </w:rPr>
        <w:t xml:space="preserve">В настоящее время в Управлении создана и функционирует система внутреннего обеспечения соответствия требованиям антимонопольного законодательства (антимонопольного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комплаенса</w:t>
      </w:r>
      <w:proofErr w:type="spellEnd"/>
      <w:r w:rsidRPr="004A1424">
        <w:rPr>
          <w:rStyle w:val="1"/>
          <w:rFonts w:eastAsiaTheme="minorHAnsi"/>
          <w:sz w:val="28"/>
          <w:szCs w:val="28"/>
        </w:rPr>
        <w:t>).</w:t>
      </w:r>
    </w:p>
    <w:p w:rsidR="00BA6F33" w:rsidRPr="004A1424" w:rsidRDefault="00BA6F33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4A1424">
        <w:rPr>
          <w:rStyle w:val="1"/>
          <w:rFonts w:eastAsiaTheme="minorHAnsi"/>
          <w:sz w:val="28"/>
          <w:szCs w:val="28"/>
        </w:rPr>
        <w:t xml:space="preserve">Разработаны нормативные правовые акты Управления в сфере антимонопольного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комплаенса</w:t>
      </w:r>
      <w:proofErr w:type="spellEnd"/>
      <w:r w:rsidRPr="004A1424">
        <w:rPr>
          <w:rStyle w:val="1"/>
          <w:rFonts w:eastAsiaTheme="minorHAnsi"/>
          <w:sz w:val="28"/>
          <w:szCs w:val="28"/>
        </w:rPr>
        <w:t xml:space="preserve">, создан раздел «Антимонопольный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</w:t>
      </w:r>
      <w:proofErr w:type="spellEnd"/>
      <w:r w:rsidRPr="004A1424">
        <w:rPr>
          <w:rStyle w:val="1"/>
          <w:rFonts w:eastAsiaTheme="minorHAnsi"/>
          <w:sz w:val="28"/>
          <w:szCs w:val="28"/>
        </w:rPr>
        <w:t>» на официальном сайте Управления в сети «Интернет».</w:t>
      </w:r>
    </w:p>
    <w:p w:rsidR="00BA6F33" w:rsidRDefault="000D58D1" w:rsidP="003F74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  <w:sz w:val="28"/>
          <w:szCs w:val="28"/>
        </w:rPr>
      </w:pPr>
      <w:r w:rsidRPr="004A1424">
        <w:rPr>
          <w:rStyle w:val="1"/>
          <w:rFonts w:eastAsiaTheme="minorHAnsi"/>
          <w:sz w:val="28"/>
          <w:szCs w:val="28"/>
        </w:rPr>
        <w:t xml:space="preserve">Уполномоченным подразделением проведена оценка достижения ключевых показателей эффективности антимонопольного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комплаенса</w:t>
      </w:r>
      <w:proofErr w:type="spellEnd"/>
      <w:r w:rsidRPr="004A1424">
        <w:rPr>
          <w:rStyle w:val="1"/>
          <w:rFonts w:eastAsiaTheme="minorHAnsi"/>
          <w:sz w:val="28"/>
          <w:szCs w:val="28"/>
        </w:rPr>
        <w:t xml:space="preserve">, которая свидетельствует об эффективности функционирования в Управлении антимонопольного </w:t>
      </w:r>
      <w:proofErr w:type="spellStart"/>
      <w:r w:rsidRPr="004A1424">
        <w:rPr>
          <w:rStyle w:val="1"/>
          <w:rFonts w:eastAsiaTheme="minorHAnsi"/>
          <w:sz w:val="28"/>
          <w:szCs w:val="28"/>
        </w:rPr>
        <w:t>комплаенса</w:t>
      </w:r>
      <w:proofErr w:type="spellEnd"/>
      <w:r w:rsidRPr="004A1424">
        <w:rPr>
          <w:rStyle w:val="1"/>
          <w:rFonts w:eastAsiaTheme="minorHAnsi"/>
          <w:sz w:val="28"/>
          <w:szCs w:val="28"/>
        </w:rPr>
        <w:t xml:space="preserve"> в 2020 году.</w:t>
      </w:r>
    </w:p>
    <w:p w:rsidR="002F4F9F" w:rsidRPr="003F740F" w:rsidRDefault="002F4F9F" w:rsidP="005A73B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F4F9F" w:rsidRPr="003F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3A1E"/>
    <w:multiLevelType w:val="hybridMultilevel"/>
    <w:tmpl w:val="6E425DB2"/>
    <w:lvl w:ilvl="0" w:tplc="912CA988">
      <w:start w:val="1"/>
      <w:numFmt w:val="decimal"/>
      <w:lvlText w:val="%1."/>
      <w:lvlJc w:val="left"/>
      <w:pPr>
        <w:ind w:left="32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3"/>
    <w:rsid w:val="0002019D"/>
    <w:rsid w:val="000329B8"/>
    <w:rsid w:val="000D2214"/>
    <w:rsid w:val="000D58D1"/>
    <w:rsid w:val="000D61E9"/>
    <w:rsid w:val="00106B7B"/>
    <w:rsid w:val="00115F09"/>
    <w:rsid w:val="001C2074"/>
    <w:rsid w:val="001D5812"/>
    <w:rsid w:val="001E0948"/>
    <w:rsid w:val="001E289D"/>
    <w:rsid w:val="001F71E0"/>
    <w:rsid w:val="00221419"/>
    <w:rsid w:val="00226832"/>
    <w:rsid w:val="002355C9"/>
    <w:rsid w:val="00246207"/>
    <w:rsid w:val="002B1815"/>
    <w:rsid w:val="002C589E"/>
    <w:rsid w:val="002C7F87"/>
    <w:rsid w:val="002D0484"/>
    <w:rsid w:val="002F4F9F"/>
    <w:rsid w:val="003B47E9"/>
    <w:rsid w:val="003C5C4E"/>
    <w:rsid w:val="003F1048"/>
    <w:rsid w:val="003F1E5C"/>
    <w:rsid w:val="003F740F"/>
    <w:rsid w:val="0042041A"/>
    <w:rsid w:val="00440C1F"/>
    <w:rsid w:val="00441770"/>
    <w:rsid w:val="004450C8"/>
    <w:rsid w:val="0045360F"/>
    <w:rsid w:val="004A1424"/>
    <w:rsid w:val="004E3D7F"/>
    <w:rsid w:val="00501F16"/>
    <w:rsid w:val="005443F6"/>
    <w:rsid w:val="005447A1"/>
    <w:rsid w:val="005542D9"/>
    <w:rsid w:val="00570E5D"/>
    <w:rsid w:val="005A73B8"/>
    <w:rsid w:val="006222DE"/>
    <w:rsid w:val="006302E8"/>
    <w:rsid w:val="00647B2E"/>
    <w:rsid w:val="006673B3"/>
    <w:rsid w:val="006C6A03"/>
    <w:rsid w:val="00717DCB"/>
    <w:rsid w:val="007312AC"/>
    <w:rsid w:val="0075481D"/>
    <w:rsid w:val="008313D3"/>
    <w:rsid w:val="00847ECD"/>
    <w:rsid w:val="00860C82"/>
    <w:rsid w:val="008902D6"/>
    <w:rsid w:val="00893E72"/>
    <w:rsid w:val="008A0A08"/>
    <w:rsid w:val="008D4B46"/>
    <w:rsid w:val="00911489"/>
    <w:rsid w:val="00975B45"/>
    <w:rsid w:val="009A0545"/>
    <w:rsid w:val="009A0B50"/>
    <w:rsid w:val="009A750C"/>
    <w:rsid w:val="00A0291C"/>
    <w:rsid w:val="00A51160"/>
    <w:rsid w:val="00A66308"/>
    <w:rsid w:val="00A92905"/>
    <w:rsid w:val="00A965C0"/>
    <w:rsid w:val="00AB63B1"/>
    <w:rsid w:val="00B11886"/>
    <w:rsid w:val="00B1574B"/>
    <w:rsid w:val="00B307A3"/>
    <w:rsid w:val="00B81A97"/>
    <w:rsid w:val="00BA6F33"/>
    <w:rsid w:val="00BC095A"/>
    <w:rsid w:val="00C12864"/>
    <w:rsid w:val="00C621F8"/>
    <w:rsid w:val="00C70A22"/>
    <w:rsid w:val="00C83B80"/>
    <w:rsid w:val="00D03CE6"/>
    <w:rsid w:val="00D37E76"/>
    <w:rsid w:val="00D74C77"/>
    <w:rsid w:val="00DD3AE9"/>
    <w:rsid w:val="00DE5BA3"/>
    <w:rsid w:val="00DF5140"/>
    <w:rsid w:val="00E53222"/>
    <w:rsid w:val="00F5311A"/>
    <w:rsid w:val="00F65138"/>
    <w:rsid w:val="00F7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6F875-D4E8-4672-82FF-0602F84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207"/>
    <w:pPr>
      <w:suppressAutoHyphens/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_"/>
    <w:link w:val="2"/>
    <w:rsid w:val="00115F0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115F09"/>
    <w:pPr>
      <w:widowControl w:val="0"/>
      <w:shd w:val="clear" w:color="auto" w:fill="FFFFFF"/>
      <w:spacing w:before="300" w:after="0" w:line="324" w:lineRule="exact"/>
      <w:ind w:hanging="190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">
    <w:name w:val="Основной текст1"/>
    <w:rsid w:val="00115F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Normal">
    <w:name w:val="ConsPlusNormal"/>
    <w:rsid w:val="002C58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B880-1B29-4887-9D57-F29FB349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615DF76F</Template>
  <TotalTime>0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Парыгина Камила Александровна</cp:lastModifiedBy>
  <cp:revision>2</cp:revision>
  <cp:lastPrinted>2021-02-01T12:47:00Z</cp:lastPrinted>
  <dcterms:created xsi:type="dcterms:W3CDTF">2021-02-09T10:33:00Z</dcterms:created>
  <dcterms:modified xsi:type="dcterms:W3CDTF">2021-02-09T10:33:00Z</dcterms:modified>
</cp:coreProperties>
</file>